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766A" w14:textId="77777777" w:rsidR="001250B8" w:rsidRPr="00062284" w:rsidRDefault="001250B8" w:rsidP="001250B8">
      <w:pPr>
        <w:rPr>
          <w:rFonts w:ascii="Arial" w:eastAsia="Times New Roman" w:hAnsi="Arial" w:cs="Arial"/>
          <w:color w:val="000000"/>
          <w:sz w:val="22"/>
          <w:szCs w:val="22"/>
        </w:rPr>
      </w:pPr>
      <w:r>
        <w:rPr>
          <w:rFonts w:ascii="Arial" w:eastAsia="Times New Roman" w:hAnsi="Arial" w:cs="Arial"/>
          <w:color w:val="000000"/>
          <w:sz w:val="22"/>
          <w:szCs w:val="22"/>
        </w:rPr>
        <w:t>Dear Sir/Madam</w:t>
      </w:r>
      <w:r w:rsidRPr="00062284">
        <w:rPr>
          <w:rFonts w:ascii="Arial" w:eastAsia="Times New Roman" w:hAnsi="Arial" w:cs="Arial"/>
          <w:color w:val="000000"/>
          <w:sz w:val="22"/>
          <w:szCs w:val="22"/>
        </w:rPr>
        <w:t>,</w:t>
      </w:r>
    </w:p>
    <w:p w14:paraId="28847E07" w14:textId="77777777" w:rsidR="001250B8" w:rsidRPr="00062284" w:rsidRDefault="001250B8" w:rsidP="001250B8">
      <w:pPr>
        <w:rPr>
          <w:rFonts w:ascii="Arial" w:eastAsia="Times New Roman" w:hAnsi="Arial" w:cs="Arial"/>
          <w:color w:val="000000"/>
          <w:sz w:val="22"/>
          <w:szCs w:val="22"/>
        </w:rPr>
      </w:pPr>
    </w:p>
    <w:p w14:paraId="7DE38AE3" w14:textId="411400C1" w:rsidR="001250B8" w:rsidRDefault="001250B8" w:rsidP="001250B8">
      <w:pPr>
        <w:rPr>
          <w:rFonts w:ascii="Arial" w:eastAsia="Times New Roman" w:hAnsi="Arial" w:cs="Arial"/>
          <w:color w:val="000000"/>
          <w:sz w:val="22"/>
          <w:szCs w:val="22"/>
        </w:rPr>
      </w:pPr>
      <w:r>
        <w:rPr>
          <w:rFonts w:ascii="Arial" w:eastAsia="Times New Roman" w:hAnsi="Arial" w:cs="Arial"/>
          <w:color w:val="000000"/>
          <w:sz w:val="22"/>
          <w:szCs w:val="22"/>
        </w:rPr>
        <w:t xml:space="preserve">My name is Paul Kiesler and I live in the East Village in Manhattan. I am the Co-chair of the </w:t>
      </w:r>
      <w:r w:rsidRPr="00184BC6">
        <w:rPr>
          <w:rFonts w:ascii="Arial" w:eastAsia="Times New Roman" w:hAnsi="Arial" w:cs="Arial"/>
          <w:b/>
          <w:bCs/>
          <w:color w:val="000000"/>
          <w:sz w:val="22"/>
          <w:szCs w:val="22"/>
        </w:rPr>
        <w:t>Climate Reality Project NYC Chapter</w:t>
      </w:r>
      <w:r>
        <w:rPr>
          <w:rFonts w:ascii="Arial" w:eastAsia="Times New Roman" w:hAnsi="Arial" w:cs="Arial"/>
          <w:color w:val="000000"/>
          <w:sz w:val="22"/>
          <w:szCs w:val="22"/>
        </w:rPr>
        <w:t xml:space="preserve">, which is an organization set up by former VP Al Gore back in 2006. We have 1,000 members in the NYC chapter, and more than 2,000 members across the State; our mission is to educate and advocate for solutions to the climate crisis across all levels of society. As the largest source of GHG emissions in NY is from the building sector, I am also a member of </w:t>
      </w:r>
      <w:r w:rsidRPr="00184BC6">
        <w:rPr>
          <w:rFonts w:ascii="Arial" w:eastAsia="Times New Roman" w:hAnsi="Arial" w:cs="Arial"/>
          <w:b/>
          <w:bCs/>
          <w:color w:val="000000"/>
          <w:sz w:val="22"/>
          <w:szCs w:val="22"/>
        </w:rPr>
        <w:t>Renewable Heat Now</w:t>
      </w:r>
      <w:r>
        <w:rPr>
          <w:rFonts w:ascii="Arial" w:eastAsia="Times New Roman" w:hAnsi="Arial" w:cs="Arial"/>
          <w:color w:val="000000"/>
          <w:sz w:val="22"/>
          <w:szCs w:val="22"/>
        </w:rPr>
        <w:t>, an organization set up to advocate for the electrification of buildings in NY so that we can meet the goals of the CLCPA.</w:t>
      </w:r>
    </w:p>
    <w:p w14:paraId="0B27E173" w14:textId="77777777" w:rsidR="006D1596" w:rsidRPr="006D1596" w:rsidRDefault="006D1596" w:rsidP="006D1596">
      <w:pPr>
        <w:rPr>
          <w:rFonts w:ascii="Times New Roman" w:eastAsia="Times New Roman" w:hAnsi="Times New Roman" w:cs="Times New Roman"/>
          <w:color w:val="000000"/>
        </w:rPr>
      </w:pPr>
    </w:p>
    <w:p w14:paraId="1400A25E" w14:textId="77777777" w:rsidR="006D1596" w:rsidRPr="006D1596" w:rsidRDefault="006D1596" w:rsidP="006D1596">
      <w:pPr>
        <w:rPr>
          <w:rFonts w:ascii="Times New Roman" w:eastAsia="Times New Roman" w:hAnsi="Times New Roman" w:cs="Times New Roman"/>
          <w:color w:val="000000"/>
        </w:rPr>
      </w:pPr>
      <w:r w:rsidRPr="006D1596">
        <w:rPr>
          <w:rFonts w:ascii="Arial" w:eastAsia="Times New Roman" w:hAnsi="Arial" w:cs="Arial"/>
          <w:color w:val="000000"/>
          <w:sz w:val="22"/>
          <w:szCs w:val="22"/>
        </w:rPr>
        <w:t>The scoping plan emphasizes low-carbon procurement, workforce development, and incentive-based measures, and posits that near-term emissions reductions will come from energy efficiency and limited electrification, while longer-term reductions will depend on innovation including low-carbon fuels and carbon capture and storage (CCS).</w:t>
      </w:r>
    </w:p>
    <w:p w14:paraId="77619C5A" w14:textId="77777777" w:rsidR="006D1596" w:rsidRPr="006D1596" w:rsidRDefault="006D1596" w:rsidP="006D1596">
      <w:pPr>
        <w:rPr>
          <w:rFonts w:ascii="Times New Roman" w:eastAsia="Times New Roman" w:hAnsi="Times New Roman" w:cs="Times New Roman"/>
          <w:color w:val="000000"/>
        </w:rPr>
      </w:pPr>
    </w:p>
    <w:p w14:paraId="76B82F57" w14:textId="77777777" w:rsidR="006D1596" w:rsidRPr="006D1596" w:rsidRDefault="006D1596" w:rsidP="006D1596">
      <w:pPr>
        <w:rPr>
          <w:rFonts w:ascii="Times New Roman" w:eastAsia="Times New Roman" w:hAnsi="Times New Roman" w:cs="Times New Roman"/>
          <w:color w:val="000000"/>
        </w:rPr>
      </w:pPr>
      <w:r w:rsidRPr="006D1596">
        <w:rPr>
          <w:rFonts w:ascii="Arial" w:eastAsia="Times New Roman" w:hAnsi="Arial" w:cs="Arial"/>
          <w:color w:val="000000"/>
          <w:sz w:val="22"/>
          <w:szCs w:val="22"/>
        </w:rPr>
        <w:t>The final scoping plan must clarify that this chapter’s objective is to promote climate and environmental justice, not business development. There must be support and leverage of public procurement to promote low-carbon materials; demand-side changes may be made to reduce materials waste. </w:t>
      </w:r>
    </w:p>
    <w:p w14:paraId="12FD062F" w14:textId="77777777" w:rsidR="006D1596" w:rsidRPr="006D1596" w:rsidRDefault="006D1596" w:rsidP="006D1596">
      <w:pPr>
        <w:rPr>
          <w:rFonts w:ascii="Times New Roman" w:eastAsia="Times New Roman" w:hAnsi="Times New Roman" w:cs="Times New Roman"/>
          <w:color w:val="000000"/>
        </w:rPr>
      </w:pPr>
    </w:p>
    <w:p w14:paraId="0FE2EA01" w14:textId="77777777" w:rsidR="006D1596" w:rsidRPr="006D1596" w:rsidRDefault="006D1596" w:rsidP="006D1596">
      <w:pPr>
        <w:rPr>
          <w:rFonts w:ascii="Times New Roman" w:eastAsia="Times New Roman" w:hAnsi="Times New Roman" w:cs="Times New Roman"/>
          <w:color w:val="000000"/>
        </w:rPr>
      </w:pPr>
      <w:r w:rsidRPr="006D1596">
        <w:rPr>
          <w:rFonts w:ascii="Arial" w:eastAsia="Times New Roman" w:hAnsi="Arial" w:cs="Arial"/>
          <w:color w:val="000000"/>
          <w:sz w:val="22"/>
          <w:szCs w:val="22"/>
        </w:rPr>
        <w:t>Industrial heat should be electrified wherever feasible. Reliance on green hydrogen must be limited, especially where hydrogen combustion would overburden disadvantaged communities. We need data collection and reporting requirements to accurately show how industrial facilities impact these communities. </w:t>
      </w:r>
    </w:p>
    <w:p w14:paraId="0F37F34B" w14:textId="77777777" w:rsidR="006D1596" w:rsidRPr="006D1596" w:rsidRDefault="006D1596" w:rsidP="006D1596">
      <w:pPr>
        <w:rPr>
          <w:rFonts w:ascii="Times New Roman" w:eastAsia="Times New Roman" w:hAnsi="Times New Roman" w:cs="Times New Roman"/>
          <w:color w:val="000000"/>
        </w:rPr>
      </w:pPr>
    </w:p>
    <w:p w14:paraId="707D504C" w14:textId="77777777" w:rsidR="006D1596" w:rsidRPr="006D1596" w:rsidRDefault="006D1596" w:rsidP="006D1596">
      <w:pPr>
        <w:rPr>
          <w:rFonts w:ascii="Times New Roman" w:eastAsia="Times New Roman" w:hAnsi="Times New Roman" w:cs="Times New Roman"/>
          <w:color w:val="000000"/>
        </w:rPr>
      </w:pPr>
      <w:r w:rsidRPr="006D1596">
        <w:rPr>
          <w:rFonts w:ascii="Arial" w:eastAsia="Times New Roman" w:hAnsi="Arial" w:cs="Arial"/>
          <w:color w:val="000000"/>
          <w:sz w:val="22"/>
          <w:szCs w:val="22"/>
        </w:rPr>
        <w:t>The sector of this chapter must omit any reliance on carbon capture and sequestration, (CCS) which is not a true zero-emissions measure. </w:t>
      </w:r>
    </w:p>
    <w:p w14:paraId="127E5B77" w14:textId="77777777" w:rsidR="006D1596" w:rsidRPr="006D1596" w:rsidRDefault="006D1596" w:rsidP="006D1596">
      <w:pPr>
        <w:rPr>
          <w:rFonts w:ascii="Times New Roman" w:eastAsia="Times New Roman" w:hAnsi="Times New Roman" w:cs="Times New Roman"/>
          <w:color w:val="000000"/>
        </w:rPr>
      </w:pPr>
    </w:p>
    <w:p w14:paraId="14878E6B" w14:textId="77777777" w:rsidR="006D1596" w:rsidRPr="006D1596" w:rsidRDefault="006D1596" w:rsidP="006D1596">
      <w:pPr>
        <w:rPr>
          <w:rFonts w:ascii="Times New Roman" w:eastAsia="Times New Roman" w:hAnsi="Times New Roman" w:cs="Times New Roman"/>
          <w:color w:val="000000"/>
        </w:rPr>
      </w:pPr>
      <w:r w:rsidRPr="006D1596">
        <w:rPr>
          <w:rFonts w:ascii="Arial" w:eastAsia="Times New Roman" w:hAnsi="Arial" w:cs="Arial"/>
          <w:color w:val="000000"/>
          <w:sz w:val="22"/>
          <w:szCs w:val="22"/>
        </w:rPr>
        <w:t>Last but not the least, the final plan should call for a permanent moratorium on proof-of-work cryptocurrency mining—an enormously energy-intensive industry that threatens our climate goals. Even if such mining operations use renewable energy, they undermine our climate goals because this renewable energy could be used to displace carbon-intensive energy for other productive sectors of our economy.</w:t>
      </w:r>
    </w:p>
    <w:p w14:paraId="2F6F5C77" w14:textId="77777777" w:rsidR="006D1596" w:rsidRPr="006D1596" w:rsidRDefault="006D1596" w:rsidP="006D1596">
      <w:pPr>
        <w:rPr>
          <w:rFonts w:ascii="Times New Roman" w:eastAsia="Times New Roman" w:hAnsi="Times New Roman" w:cs="Times New Roman"/>
          <w:color w:val="000000"/>
        </w:rPr>
      </w:pPr>
    </w:p>
    <w:p w14:paraId="5E3B008B" w14:textId="77777777" w:rsidR="006D1596" w:rsidRPr="006D1596" w:rsidRDefault="006D1596" w:rsidP="006D1596">
      <w:pPr>
        <w:rPr>
          <w:rFonts w:ascii="Times New Roman" w:eastAsia="Times New Roman" w:hAnsi="Times New Roman" w:cs="Times New Roman"/>
          <w:color w:val="000000"/>
        </w:rPr>
      </w:pPr>
      <w:r w:rsidRPr="006D1596">
        <w:rPr>
          <w:rFonts w:ascii="Arial" w:eastAsia="Times New Roman" w:hAnsi="Arial" w:cs="Arial"/>
          <w:color w:val="000000"/>
          <w:sz w:val="22"/>
          <w:szCs w:val="22"/>
        </w:rPr>
        <w:t xml:space="preserve">In 2021, Bitcoin was used in 0.012% (about 100 million) of the total global noncash transactions (about 840 billion), yet its energy consumption (estimated at about 104–198 </w:t>
      </w:r>
      <w:proofErr w:type="spellStart"/>
      <w:r w:rsidRPr="006D1596">
        <w:rPr>
          <w:rFonts w:ascii="Arial" w:eastAsia="Times New Roman" w:hAnsi="Arial" w:cs="Arial"/>
          <w:color w:val="000000"/>
          <w:sz w:val="22"/>
          <w:szCs w:val="22"/>
        </w:rPr>
        <w:t>TWh</w:t>
      </w:r>
      <w:proofErr w:type="spellEnd"/>
      <w:r w:rsidRPr="006D1596">
        <w:rPr>
          <w:rFonts w:ascii="Arial" w:eastAsia="Times New Roman" w:hAnsi="Arial" w:cs="Arial"/>
          <w:color w:val="000000"/>
          <w:sz w:val="22"/>
          <w:szCs w:val="22"/>
        </w:rPr>
        <w:t xml:space="preserve">) rivaled that of the entire global banking system (about 140 </w:t>
      </w:r>
      <w:proofErr w:type="spellStart"/>
      <w:r w:rsidRPr="006D1596">
        <w:rPr>
          <w:rFonts w:ascii="Arial" w:eastAsia="Times New Roman" w:hAnsi="Arial" w:cs="Arial"/>
          <w:color w:val="000000"/>
          <w:sz w:val="22"/>
          <w:szCs w:val="22"/>
        </w:rPr>
        <w:t>TWh</w:t>
      </w:r>
      <w:proofErr w:type="spellEnd"/>
      <w:r w:rsidRPr="006D1596">
        <w:rPr>
          <w:rFonts w:ascii="Arial" w:eastAsia="Times New Roman" w:hAnsi="Arial" w:cs="Arial"/>
          <w:color w:val="000000"/>
          <w:sz w:val="22"/>
          <w:szCs w:val="22"/>
        </w:rPr>
        <w:t xml:space="preserve">), which handled the remaining 99.988% of the transactions. It is important to note that a vast majority of these 0.012% Bitcoin transactions were simply </w:t>
      </w:r>
      <w:proofErr w:type="gramStart"/>
      <w:r w:rsidRPr="006D1596">
        <w:rPr>
          <w:rFonts w:ascii="Arial" w:eastAsia="Times New Roman" w:hAnsi="Arial" w:cs="Arial"/>
          <w:color w:val="000000"/>
          <w:sz w:val="22"/>
          <w:szCs w:val="22"/>
        </w:rPr>
        <w:t>trades, and</w:t>
      </w:r>
      <w:proofErr w:type="gramEnd"/>
      <w:r w:rsidRPr="006D1596">
        <w:rPr>
          <w:rFonts w:ascii="Arial" w:eastAsia="Times New Roman" w:hAnsi="Arial" w:cs="Arial"/>
          <w:color w:val="000000"/>
          <w:sz w:val="22"/>
          <w:szCs w:val="22"/>
        </w:rPr>
        <w:t xml:space="preserve"> did not represent useful payments for goods or services. To make matters worse, Bitcoin periodically undergoes “halving” events </w:t>
      </w:r>
      <w:proofErr w:type="gramStart"/>
      <w:r w:rsidRPr="006D1596">
        <w:rPr>
          <w:rFonts w:ascii="Arial" w:eastAsia="Times New Roman" w:hAnsi="Arial" w:cs="Arial"/>
          <w:color w:val="000000"/>
          <w:sz w:val="22"/>
          <w:szCs w:val="22"/>
        </w:rPr>
        <w:t>in order to</w:t>
      </w:r>
      <w:proofErr w:type="gramEnd"/>
      <w:r w:rsidRPr="006D1596">
        <w:rPr>
          <w:rFonts w:ascii="Arial" w:eastAsia="Times New Roman" w:hAnsi="Arial" w:cs="Arial"/>
          <w:color w:val="000000"/>
          <w:sz w:val="22"/>
          <w:szCs w:val="22"/>
        </w:rPr>
        <w:t xml:space="preserve"> maintain artificial scarcity, with the next halving expected in 2024. Each halving event doubles the amount of energy required to mine one Bitcoin. These staggering statistics highlight a few issues, in addition to the well-known ones associated with electricity use and the related GHG emissions. </w:t>
      </w:r>
    </w:p>
    <w:p w14:paraId="1890C0FF" w14:textId="77777777" w:rsidR="006D1596" w:rsidRPr="006D1596" w:rsidRDefault="006D1596" w:rsidP="006D1596">
      <w:pPr>
        <w:rPr>
          <w:rFonts w:ascii="Times New Roman" w:eastAsia="Times New Roman" w:hAnsi="Times New Roman" w:cs="Times New Roman"/>
          <w:color w:val="000000"/>
        </w:rPr>
      </w:pPr>
    </w:p>
    <w:p w14:paraId="0448AAB7" w14:textId="77777777" w:rsidR="006D1596" w:rsidRPr="006D1596" w:rsidRDefault="006D1596" w:rsidP="006D1596">
      <w:pPr>
        <w:rPr>
          <w:rFonts w:ascii="Times New Roman" w:eastAsia="Times New Roman" w:hAnsi="Times New Roman" w:cs="Times New Roman"/>
          <w:color w:val="000000"/>
        </w:rPr>
      </w:pPr>
      <w:r w:rsidRPr="006D1596">
        <w:rPr>
          <w:rFonts w:ascii="Arial" w:eastAsia="Times New Roman" w:hAnsi="Arial" w:cs="Arial"/>
          <w:color w:val="000000"/>
          <w:sz w:val="22"/>
          <w:szCs w:val="22"/>
        </w:rPr>
        <w:t xml:space="preserve">First, with this kind of energy requirement and the associated costs, it is nearly impossible for Bitcoin (or any proof-of-work cryptocurrency) to serve as an inexpensive, democratized, and decentralized universal currency as its proponents misleadingly claim; </w:t>
      </w:r>
      <w:proofErr w:type="spellStart"/>
      <w:r w:rsidRPr="006D1596">
        <w:rPr>
          <w:rFonts w:ascii="Arial" w:eastAsia="Times New Roman" w:hAnsi="Arial" w:cs="Arial"/>
          <w:color w:val="000000"/>
          <w:sz w:val="22"/>
          <w:szCs w:val="22"/>
        </w:rPr>
        <w:t>its</w:t>
      </w:r>
      <w:proofErr w:type="spellEnd"/>
      <w:r w:rsidRPr="006D1596">
        <w:rPr>
          <w:rFonts w:ascii="Arial" w:eastAsia="Times New Roman" w:hAnsi="Arial" w:cs="Arial"/>
          <w:color w:val="000000"/>
          <w:sz w:val="22"/>
          <w:szCs w:val="22"/>
        </w:rPr>
        <w:t xml:space="preserve"> very design prevents it from scaling. There are tremendous costs associated with Bitcoin’s mining and block-chain operations that are eventually borne by everyone holding Bitcoins. This makes Bitcoin a particularly poor investment vehicle. Anyone who owns Bitcoins essentially has an “asset” that </w:t>
      </w:r>
      <w:r w:rsidRPr="006D1596">
        <w:rPr>
          <w:rFonts w:ascii="Arial" w:eastAsia="Times New Roman" w:hAnsi="Arial" w:cs="Arial"/>
          <w:color w:val="000000"/>
          <w:sz w:val="22"/>
          <w:szCs w:val="22"/>
        </w:rPr>
        <w:lastRenderedPageBreak/>
        <w:t xml:space="preserve">has continual </w:t>
      </w:r>
      <w:proofErr w:type="gramStart"/>
      <w:r w:rsidRPr="006D1596">
        <w:rPr>
          <w:rFonts w:ascii="Arial" w:eastAsia="Times New Roman" w:hAnsi="Arial" w:cs="Arial"/>
          <w:color w:val="000000"/>
          <w:sz w:val="22"/>
          <w:szCs w:val="22"/>
        </w:rPr>
        <w:t>costs, but</w:t>
      </w:r>
      <w:proofErr w:type="gramEnd"/>
      <w:r w:rsidRPr="006D1596">
        <w:rPr>
          <w:rFonts w:ascii="Arial" w:eastAsia="Times New Roman" w:hAnsi="Arial" w:cs="Arial"/>
          <w:color w:val="000000"/>
          <w:sz w:val="22"/>
          <w:szCs w:val="22"/>
        </w:rPr>
        <w:t xml:space="preserve"> produces nothing of value. The only way for this investment to grow is by means of a price appreciation caused solely by the demand exceeding the supply. It will inevitably run out of new buyers, thereby halting the uptrend in prices while the operating costs continue to mount. </w:t>
      </w:r>
    </w:p>
    <w:p w14:paraId="72C9EB2B" w14:textId="77777777" w:rsidR="006D1596" w:rsidRPr="006D1596" w:rsidRDefault="006D1596" w:rsidP="006D1596">
      <w:pPr>
        <w:rPr>
          <w:rFonts w:ascii="Times New Roman" w:eastAsia="Times New Roman" w:hAnsi="Times New Roman" w:cs="Times New Roman"/>
          <w:color w:val="000000"/>
        </w:rPr>
      </w:pPr>
    </w:p>
    <w:p w14:paraId="474FD5C5" w14:textId="77777777" w:rsidR="006D1596" w:rsidRPr="006D1596" w:rsidRDefault="006D1596" w:rsidP="006D1596">
      <w:pPr>
        <w:rPr>
          <w:rFonts w:ascii="Times New Roman" w:eastAsia="Times New Roman" w:hAnsi="Times New Roman" w:cs="Times New Roman"/>
          <w:color w:val="000000"/>
        </w:rPr>
      </w:pPr>
      <w:r w:rsidRPr="006D1596">
        <w:rPr>
          <w:rFonts w:ascii="Arial" w:eastAsia="Times New Roman" w:hAnsi="Arial" w:cs="Arial"/>
          <w:color w:val="000000"/>
          <w:sz w:val="22"/>
          <w:szCs w:val="22"/>
        </w:rPr>
        <w:t xml:space="preserve">Secondly, the 2024 halving will not only double the energy costs of Bitcoin mining, </w:t>
      </w:r>
      <w:proofErr w:type="gramStart"/>
      <w:r w:rsidRPr="006D1596">
        <w:rPr>
          <w:rFonts w:ascii="Arial" w:eastAsia="Times New Roman" w:hAnsi="Arial" w:cs="Arial"/>
          <w:color w:val="000000"/>
          <w:sz w:val="22"/>
          <w:szCs w:val="22"/>
        </w:rPr>
        <w:t>it</w:t>
      </w:r>
      <w:proofErr w:type="gramEnd"/>
      <w:r w:rsidRPr="006D1596">
        <w:rPr>
          <w:rFonts w:ascii="Arial" w:eastAsia="Times New Roman" w:hAnsi="Arial" w:cs="Arial"/>
          <w:color w:val="000000"/>
          <w:sz w:val="22"/>
          <w:szCs w:val="22"/>
        </w:rPr>
        <w:t xml:space="preserve"> will also likely exacerbate the already egregious E-waste problem associated with such mining operations. The reason is that it will slow down the rate at which new Bitcoins can be mined, therefore it will necessitate upgrades to faster hardware. If the price of Bitcoin does not appreciate sufficiently to cover its escalating costs, mounting losses may force some mining operations to </w:t>
      </w:r>
      <w:proofErr w:type="gramStart"/>
      <w:r w:rsidRPr="006D1596">
        <w:rPr>
          <w:rFonts w:ascii="Arial" w:eastAsia="Times New Roman" w:hAnsi="Arial" w:cs="Arial"/>
          <w:color w:val="000000"/>
          <w:sz w:val="22"/>
          <w:szCs w:val="22"/>
        </w:rPr>
        <w:t>close down</w:t>
      </w:r>
      <w:proofErr w:type="gramEnd"/>
      <w:r w:rsidRPr="006D1596">
        <w:rPr>
          <w:rFonts w:ascii="Arial" w:eastAsia="Times New Roman" w:hAnsi="Arial" w:cs="Arial"/>
          <w:color w:val="000000"/>
          <w:sz w:val="22"/>
          <w:szCs w:val="22"/>
        </w:rPr>
        <w:t xml:space="preserve">. Even before the halving, mining costs have been going up with rising energy prices while the revenues are in a decline in line with Bitcoin’s price. Power stations as well as data centers require methodical and expensive decommissioning. Unchecked proliferation of power stations and data centers for mining cryptocurrency risks leaving taxpayers liable for the decommissioning and disposal costs </w:t>
      </w:r>
      <w:proofErr w:type="gramStart"/>
      <w:r w:rsidRPr="006D1596">
        <w:rPr>
          <w:rFonts w:ascii="Arial" w:eastAsia="Times New Roman" w:hAnsi="Arial" w:cs="Arial"/>
          <w:color w:val="000000"/>
          <w:sz w:val="22"/>
          <w:szCs w:val="22"/>
        </w:rPr>
        <w:t>if and when</w:t>
      </w:r>
      <w:proofErr w:type="gramEnd"/>
      <w:r w:rsidRPr="006D1596">
        <w:rPr>
          <w:rFonts w:ascii="Arial" w:eastAsia="Times New Roman" w:hAnsi="Arial" w:cs="Arial"/>
          <w:color w:val="000000"/>
          <w:sz w:val="22"/>
          <w:szCs w:val="22"/>
        </w:rPr>
        <w:t xml:space="preserve"> the owners of these facilities become insolvent during an inevitable downturn in the cryptocurrency market.  </w:t>
      </w:r>
    </w:p>
    <w:p w14:paraId="5CC8B7DD" w14:textId="77777777" w:rsidR="006D1596" w:rsidRPr="006D1596" w:rsidRDefault="006D1596" w:rsidP="006D1596">
      <w:pPr>
        <w:rPr>
          <w:rFonts w:ascii="Times New Roman" w:eastAsia="Times New Roman" w:hAnsi="Times New Roman" w:cs="Times New Roman"/>
          <w:color w:val="000000"/>
        </w:rPr>
      </w:pPr>
    </w:p>
    <w:p w14:paraId="1B427633" w14:textId="77777777" w:rsidR="006D1596" w:rsidRPr="006D1596" w:rsidRDefault="006D1596" w:rsidP="006D1596">
      <w:pPr>
        <w:rPr>
          <w:rFonts w:ascii="Times New Roman" w:eastAsia="Times New Roman" w:hAnsi="Times New Roman" w:cs="Times New Roman"/>
          <w:color w:val="000000"/>
        </w:rPr>
      </w:pPr>
      <w:r w:rsidRPr="006D1596">
        <w:rPr>
          <w:rFonts w:ascii="Arial" w:eastAsia="Times New Roman" w:hAnsi="Arial" w:cs="Arial"/>
          <w:color w:val="000000"/>
          <w:sz w:val="22"/>
          <w:szCs w:val="22"/>
        </w:rPr>
        <w:t>Like bubbles in any market, it is impossible to predict cryptocurrencies’ boom and bust time frames. Until the proof-of-work cryptocurrency bubble bursts completely, it has the potential to destabilize electric grids, raise consumers’ electricity costs, and continue contributing to the global semiconductor chip shortage from its insatiable appetite for new computer hardware, in addition to contributing to GHG emissions. </w:t>
      </w:r>
    </w:p>
    <w:p w14:paraId="1C35D7D7" w14:textId="77777777" w:rsidR="001250B8" w:rsidRPr="001250B8" w:rsidRDefault="006D1596" w:rsidP="001250B8">
      <w:pPr>
        <w:rPr>
          <w:rFonts w:ascii="Arial" w:eastAsiaTheme="minorEastAsia" w:hAnsi="Arial" w:cs="Arial"/>
          <w:noProof/>
          <w:color w:val="000000"/>
          <w:sz w:val="22"/>
          <w:szCs w:val="22"/>
        </w:rPr>
      </w:pPr>
      <w:r w:rsidRPr="006D1596">
        <w:rPr>
          <w:rFonts w:ascii="Arial" w:eastAsia="Times New Roman" w:hAnsi="Arial" w:cs="Arial"/>
          <w:color w:val="000000"/>
          <w:sz w:val="22"/>
          <w:szCs w:val="22"/>
        </w:rPr>
        <w:br/>
      </w:r>
      <w:bookmarkStart w:id="0" w:name="_MailAutoSig"/>
      <w:r w:rsidR="001250B8" w:rsidRPr="001250B8">
        <w:rPr>
          <w:rFonts w:ascii="Arial" w:eastAsiaTheme="minorEastAsia" w:hAnsi="Arial" w:cs="Arial"/>
          <w:noProof/>
          <w:color w:val="000000"/>
          <w:sz w:val="22"/>
          <w:szCs w:val="22"/>
        </w:rPr>
        <w:t xml:space="preserve">Paul Kiesler </w:t>
      </w:r>
    </w:p>
    <w:p w14:paraId="58A60827" w14:textId="77777777" w:rsidR="001250B8" w:rsidRPr="001250B8" w:rsidRDefault="001250B8" w:rsidP="001250B8">
      <w:pPr>
        <w:rPr>
          <w:rFonts w:ascii="Arial" w:eastAsiaTheme="minorEastAsia" w:hAnsi="Arial" w:cs="Arial"/>
          <w:noProof/>
          <w:color w:val="000000"/>
          <w:sz w:val="22"/>
          <w:szCs w:val="22"/>
        </w:rPr>
      </w:pPr>
      <w:r w:rsidRPr="001250B8">
        <w:rPr>
          <w:rFonts w:ascii="Arial" w:eastAsiaTheme="minorEastAsia" w:hAnsi="Arial" w:cs="Arial"/>
          <w:noProof/>
          <w:color w:val="000000"/>
          <w:sz w:val="22"/>
          <w:szCs w:val="22"/>
        </w:rPr>
        <w:t xml:space="preserve">Co-Chair NYC Metro Chapter Climate Reality Project </w:t>
      </w:r>
    </w:p>
    <w:p w14:paraId="7493B115" w14:textId="77777777" w:rsidR="001250B8" w:rsidRPr="001250B8" w:rsidRDefault="001250B8" w:rsidP="001250B8">
      <w:pPr>
        <w:rPr>
          <w:rFonts w:ascii="Arial" w:eastAsiaTheme="minorEastAsia" w:hAnsi="Arial" w:cs="Arial"/>
          <w:noProof/>
          <w:color w:val="000000"/>
          <w:sz w:val="22"/>
          <w:szCs w:val="22"/>
        </w:rPr>
      </w:pPr>
      <w:r w:rsidRPr="001250B8">
        <w:rPr>
          <w:rFonts w:ascii="Arial" w:eastAsiaTheme="minorEastAsia" w:hAnsi="Arial" w:cs="Arial"/>
          <w:noProof/>
          <w:color w:val="000000"/>
          <w:sz w:val="22"/>
          <w:szCs w:val="22"/>
        </w:rPr>
        <w:t xml:space="preserve">Follow us here: </w:t>
      </w:r>
      <w:hyperlink r:id="rId4" w:history="1">
        <w:r w:rsidRPr="001250B8">
          <w:rPr>
            <w:rStyle w:val="Hyperlink"/>
            <w:rFonts w:ascii="Arial" w:eastAsiaTheme="minorEastAsia" w:hAnsi="Arial" w:cs="Arial"/>
            <w:noProof/>
            <w:color w:val="0563C1"/>
            <w:sz w:val="22"/>
            <w:szCs w:val="22"/>
          </w:rPr>
          <w:t>Instagram</w:t>
        </w:r>
      </w:hyperlink>
      <w:r w:rsidRPr="001250B8">
        <w:rPr>
          <w:rFonts w:ascii="Arial" w:eastAsiaTheme="minorEastAsia" w:hAnsi="Arial" w:cs="Arial"/>
          <w:noProof/>
          <w:color w:val="000000"/>
          <w:sz w:val="22"/>
          <w:szCs w:val="22"/>
        </w:rPr>
        <w:t xml:space="preserve">, </w:t>
      </w:r>
      <w:hyperlink r:id="rId5" w:history="1">
        <w:r w:rsidRPr="001250B8">
          <w:rPr>
            <w:rStyle w:val="Hyperlink"/>
            <w:rFonts w:ascii="Arial" w:eastAsiaTheme="minorEastAsia" w:hAnsi="Arial" w:cs="Arial"/>
            <w:noProof/>
            <w:color w:val="0563C1"/>
            <w:sz w:val="22"/>
            <w:szCs w:val="22"/>
          </w:rPr>
          <w:t>Twitter</w:t>
        </w:r>
      </w:hyperlink>
      <w:r w:rsidRPr="001250B8">
        <w:rPr>
          <w:rFonts w:ascii="Arial" w:eastAsiaTheme="minorEastAsia" w:hAnsi="Arial" w:cs="Arial"/>
          <w:noProof/>
          <w:color w:val="000000"/>
          <w:sz w:val="22"/>
          <w:szCs w:val="22"/>
        </w:rPr>
        <w:t xml:space="preserve">, </w:t>
      </w:r>
      <w:hyperlink r:id="rId6" w:history="1">
        <w:r w:rsidRPr="001250B8">
          <w:rPr>
            <w:rStyle w:val="Hyperlink"/>
            <w:rFonts w:ascii="Arial" w:eastAsiaTheme="minorEastAsia" w:hAnsi="Arial" w:cs="Arial"/>
            <w:noProof/>
            <w:color w:val="0563C1"/>
            <w:sz w:val="22"/>
            <w:szCs w:val="22"/>
          </w:rPr>
          <w:t>Facebook</w:t>
        </w:r>
      </w:hyperlink>
      <w:r w:rsidRPr="001250B8">
        <w:rPr>
          <w:rFonts w:ascii="Arial" w:eastAsiaTheme="minorEastAsia" w:hAnsi="Arial" w:cs="Arial"/>
          <w:noProof/>
          <w:color w:val="000000"/>
          <w:sz w:val="22"/>
          <w:szCs w:val="22"/>
        </w:rPr>
        <w:t xml:space="preserve"> and </w:t>
      </w:r>
      <w:hyperlink r:id="rId7" w:history="1">
        <w:r w:rsidRPr="001250B8">
          <w:rPr>
            <w:rStyle w:val="Hyperlink"/>
            <w:rFonts w:ascii="Arial" w:eastAsiaTheme="minorEastAsia" w:hAnsi="Arial" w:cs="Arial"/>
            <w:noProof/>
            <w:color w:val="0563C1"/>
            <w:sz w:val="22"/>
            <w:szCs w:val="22"/>
          </w:rPr>
          <w:t>https://climaterealitynyc.org</w:t>
        </w:r>
      </w:hyperlink>
      <w:bookmarkEnd w:id="0"/>
    </w:p>
    <w:p w14:paraId="3303538A" w14:textId="60FD6890" w:rsidR="006D1596" w:rsidRPr="006D1596" w:rsidRDefault="006D1596" w:rsidP="001250B8">
      <w:pPr>
        <w:spacing w:after="240"/>
        <w:rPr>
          <w:rFonts w:ascii="Arial" w:eastAsia="Times New Roman" w:hAnsi="Arial" w:cs="Arial"/>
          <w:sz w:val="22"/>
          <w:szCs w:val="22"/>
        </w:rPr>
      </w:pPr>
    </w:p>
    <w:p w14:paraId="48FCAE8B" w14:textId="77777777" w:rsidR="009A1757" w:rsidRPr="001250B8" w:rsidRDefault="009A1757">
      <w:pPr>
        <w:rPr>
          <w:rFonts w:ascii="Arial" w:hAnsi="Arial" w:cs="Arial"/>
          <w:sz w:val="22"/>
          <w:szCs w:val="22"/>
        </w:rPr>
      </w:pPr>
    </w:p>
    <w:sectPr w:rsidR="009A1757" w:rsidRPr="001250B8" w:rsidSect="00452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96"/>
    <w:rsid w:val="001250B8"/>
    <w:rsid w:val="004520ED"/>
    <w:rsid w:val="0057600D"/>
    <w:rsid w:val="006D1596"/>
    <w:rsid w:val="009A1757"/>
    <w:rsid w:val="00B77D06"/>
    <w:rsid w:val="00D44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D68AFC"/>
  <w15:chartTrackingRefBased/>
  <w15:docId w15:val="{6D7E7FB9-071E-3A44-8947-0837FE08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59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250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61313">
      <w:bodyDiv w:val="1"/>
      <w:marLeft w:val="0"/>
      <w:marRight w:val="0"/>
      <w:marTop w:val="0"/>
      <w:marBottom w:val="0"/>
      <w:divBdr>
        <w:top w:val="none" w:sz="0" w:space="0" w:color="auto"/>
        <w:left w:val="none" w:sz="0" w:space="0" w:color="auto"/>
        <w:bottom w:val="none" w:sz="0" w:space="0" w:color="auto"/>
        <w:right w:val="none" w:sz="0" w:space="0" w:color="auto"/>
      </w:divBdr>
    </w:div>
    <w:div w:id="14323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imaterealityny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360250614050745" TargetMode="External"/><Relationship Id="rId5" Type="http://schemas.openxmlformats.org/officeDocument/2006/relationships/hyperlink" Target="https://twitter.com/nyc_climate" TargetMode="External"/><Relationship Id="rId4" Type="http://schemas.openxmlformats.org/officeDocument/2006/relationships/hyperlink" Target="https://www.instagram.com/climaterealityny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Kiesler</dc:creator>
  <cp:keywords/>
  <dc:description/>
  <cp:lastModifiedBy>Paul Kiesler</cp:lastModifiedBy>
  <cp:revision>3</cp:revision>
  <dcterms:created xsi:type="dcterms:W3CDTF">2022-06-20T23:56:00Z</dcterms:created>
  <dcterms:modified xsi:type="dcterms:W3CDTF">2022-06-21T00:17:00Z</dcterms:modified>
</cp:coreProperties>
</file>